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432EB" w:rsidRPr="00DC1B04" w:rsidRDefault="00E00664" w:rsidP="00E00664">
      <w:pPr>
        <w:jc w:val="center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Novum</w:t>
      </w:r>
      <w:proofErr w:type="spellEnd"/>
      <w:r>
        <w:rPr>
          <w:rFonts w:ascii="Arial" w:hAnsi="Arial"/>
          <w:sz w:val="22"/>
          <w:szCs w:val="22"/>
        </w:rPr>
        <w:t xml:space="preserve"> Films Present</w:t>
      </w:r>
      <w:r>
        <w:rPr>
          <w:rFonts w:ascii="Arial" w:hAnsi="Arial"/>
          <w:sz w:val="22"/>
          <w:szCs w:val="22"/>
        </w:rPr>
        <w:br/>
      </w:r>
      <w:r w:rsidR="00DA354E">
        <w:rPr>
          <w:rFonts w:ascii="Arial" w:hAnsi="Arial"/>
          <w:i/>
          <w:sz w:val="44"/>
          <w:szCs w:val="44"/>
        </w:rPr>
        <w:t>Reason</w:t>
      </w:r>
      <w:r>
        <w:rPr>
          <w:rFonts w:ascii="Arial" w:hAnsi="Arial"/>
          <w:sz w:val="22"/>
          <w:szCs w:val="22"/>
        </w:rPr>
        <w:br/>
      </w:r>
      <w:r w:rsidR="00F55940">
        <w:rPr>
          <w:rFonts w:ascii="Arial" w:hAnsi="Arial"/>
          <w:sz w:val="22"/>
          <w:szCs w:val="22"/>
        </w:rPr>
        <w:t>Equipment Budget</w:t>
      </w:r>
    </w:p>
    <w:p w:rsidR="001054F4" w:rsidRPr="00DC1B04" w:rsidRDefault="001054F4">
      <w:pPr>
        <w:rPr>
          <w:rFonts w:ascii="Arial" w:hAnsi="Arial"/>
          <w:sz w:val="22"/>
          <w:szCs w:val="22"/>
        </w:rPr>
      </w:pPr>
    </w:p>
    <w:tbl>
      <w:tblPr>
        <w:tblStyle w:val="TableGrid"/>
        <w:tblW w:w="9284" w:type="dxa"/>
        <w:tblLook w:val="04A0"/>
      </w:tblPr>
      <w:tblGrid>
        <w:gridCol w:w="3441"/>
        <w:gridCol w:w="2232"/>
        <w:gridCol w:w="3611"/>
      </w:tblGrid>
      <w:tr w:rsidR="00A463D0" w:rsidRPr="00DC1B04">
        <w:trPr>
          <w:trHeight w:val="71"/>
        </w:trPr>
        <w:tc>
          <w:tcPr>
            <w:tcW w:w="3441" w:type="dxa"/>
            <w:shd w:val="clear" w:color="auto" w:fill="auto"/>
          </w:tcPr>
          <w:p w:rsidR="00A463D0" w:rsidRPr="00E00664" w:rsidRDefault="00A463D0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E00664">
              <w:rPr>
                <w:rFonts w:ascii="Arial" w:hAnsi="Arial"/>
                <w:color w:val="000000" w:themeColor="text1"/>
                <w:sz w:val="22"/>
                <w:szCs w:val="22"/>
              </w:rPr>
              <w:t>Equipment</w:t>
            </w:r>
          </w:p>
        </w:tc>
        <w:tc>
          <w:tcPr>
            <w:tcW w:w="2232" w:type="dxa"/>
            <w:shd w:val="clear" w:color="auto" w:fill="auto"/>
          </w:tcPr>
          <w:p w:rsidR="00A463D0" w:rsidRPr="00E00664" w:rsidRDefault="00A463D0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E00664">
              <w:rPr>
                <w:rFonts w:ascii="Arial" w:hAnsi="Arial"/>
                <w:color w:val="000000" w:themeColor="text1"/>
                <w:sz w:val="22"/>
                <w:szCs w:val="22"/>
              </w:rPr>
              <w:t>Cost to buy</w:t>
            </w:r>
          </w:p>
        </w:tc>
        <w:tc>
          <w:tcPr>
            <w:tcW w:w="3611" w:type="dxa"/>
            <w:shd w:val="clear" w:color="auto" w:fill="auto"/>
          </w:tcPr>
          <w:p w:rsidR="00A463D0" w:rsidRPr="00E00664" w:rsidRDefault="00A463D0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E00664">
              <w:rPr>
                <w:rFonts w:ascii="Arial" w:hAnsi="Arial"/>
                <w:color w:val="000000" w:themeColor="text1"/>
                <w:sz w:val="22"/>
                <w:szCs w:val="22"/>
              </w:rPr>
              <w:t>Cost to rent for two weeks</w:t>
            </w:r>
          </w:p>
        </w:tc>
      </w:tr>
      <w:tr w:rsidR="00A463D0" w:rsidRPr="00DC1B04">
        <w:trPr>
          <w:trHeight w:val="33"/>
        </w:trPr>
        <w:tc>
          <w:tcPr>
            <w:tcW w:w="3441" w:type="dxa"/>
            <w:shd w:val="clear" w:color="auto" w:fill="000000" w:themeFill="text1"/>
          </w:tcPr>
          <w:p w:rsidR="00A463D0" w:rsidRPr="00DC1B04" w:rsidRDefault="00A463D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000000" w:themeFill="text1"/>
          </w:tcPr>
          <w:p w:rsidR="00A463D0" w:rsidRPr="00DC1B04" w:rsidRDefault="00A463D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11" w:type="dxa"/>
            <w:shd w:val="clear" w:color="auto" w:fill="000000" w:themeFill="text1"/>
          </w:tcPr>
          <w:p w:rsidR="00A463D0" w:rsidRPr="00DC1B04" w:rsidRDefault="00A463D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A463D0" w:rsidRPr="00DC1B04">
        <w:trPr>
          <w:trHeight w:val="175"/>
        </w:trPr>
        <w:tc>
          <w:tcPr>
            <w:tcW w:w="3441" w:type="dxa"/>
          </w:tcPr>
          <w:p w:rsidR="00A463D0" w:rsidRPr="00DC1B04" w:rsidRDefault="007D5CD7" w:rsidP="00CC103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CC103F">
              <w:rPr>
                <w:rFonts w:ascii="Arial" w:hAnsi="Arial"/>
                <w:sz w:val="22"/>
                <w:szCs w:val="22"/>
              </w:rPr>
              <w:t>x Rode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CC103F">
              <w:rPr>
                <w:rFonts w:ascii="Arial" w:hAnsi="Arial"/>
                <w:sz w:val="22"/>
                <w:szCs w:val="22"/>
              </w:rPr>
              <w:t>NTG2</w:t>
            </w:r>
            <w:r w:rsidR="00A463D0" w:rsidRPr="00DC1B04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232" w:type="dxa"/>
          </w:tcPr>
          <w:p w:rsidR="00A463D0" w:rsidRPr="00DC1B04" w:rsidRDefault="00A463D0" w:rsidP="00CC103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DC1B04">
              <w:rPr>
                <w:rFonts w:ascii="Arial" w:hAnsi="Arial"/>
                <w:sz w:val="22"/>
                <w:szCs w:val="22"/>
              </w:rPr>
              <w:t>£</w:t>
            </w:r>
            <w:r w:rsidR="00CC103F">
              <w:rPr>
                <w:rFonts w:ascii="Arial" w:hAnsi="Arial"/>
                <w:sz w:val="22"/>
                <w:szCs w:val="22"/>
              </w:rPr>
              <w:t>138</w:t>
            </w:r>
          </w:p>
        </w:tc>
        <w:tc>
          <w:tcPr>
            <w:tcW w:w="3611" w:type="dxa"/>
          </w:tcPr>
          <w:p w:rsidR="00A463D0" w:rsidRDefault="00682591" w:rsidP="00682591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£35</w:t>
            </w:r>
          </w:p>
          <w:p w:rsidR="00682591" w:rsidRPr="00DC1B04" w:rsidRDefault="00682591" w:rsidP="00682591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(£30 Deposit)</w:t>
            </w:r>
          </w:p>
        </w:tc>
      </w:tr>
      <w:tr w:rsidR="00CC103F" w:rsidRPr="00DC1B04">
        <w:trPr>
          <w:trHeight w:val="175"/>
        </w:trPr>
        <w:tc>
          <w:tcPr>
            <w:tcW w:w="3441" w:type="dxa"/>
          </w:tcPr>
          <w:p w:rsidR="00CC103F" w:rsidRDefault="00CC103F" w:rsidP="00CC103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1x Rode Boom Pole </w:t>
            </w:r>
          </w:p>
        </w:tc>
        <w:tc>
          <w:tcPr>
            <w:tcW w:w="2232" w:type="dxa"/>
          </w:tcPr>
          <w:p w:rsidR="00CC103F" w:rsidRPr="00DC1B04" w:rsidRDefault="00CC103F" w:rsidP="00CC103F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£77</w:t>
            </w:r>
          </w:p>
        </w:tc>
        <w:tc>
          <w:tcPr>
            <w:tcW w:w="3611" w:type="dxa"/>
          </w:tcPr>
          <w:p w:rsidR="00CC103F" w:rsidRDefault="00CC103F" w:rsidP="00682591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£</w:t>
            </w:r>
            <w:r w:rsidR="00682591">
              <w:rPr>
                <w:rFonts w:ascii="Arial" w:hAnsi="Arial"/>
                <w:sz w:val="22"/>
                <w:szCs w:val="22"/>
              </w:rPr>
              <w:t>30</w:t>
            </w:r>
          </w:p>
          <w:p w:rsidR="00682591" w:rsidRDefault="00682591" w:rsidP="00682591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(£8</w:t>
            </w:r>
            <w:r w:rsidR="00871BF6">
              <w:rPr>
                <w:rFonts w:ascii="Arial" w:hAnsi="Arial"/>
                <w:sz w:val="22"/>
                <w:szCs w:val="22"/>
              </w:rPr>
              <w:t xml:space="preserve"> Deposit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</w:tc>
      </w:tr>
      <w:tr w:rsidR="00CC103F" w:rsidRPr="00DC1B04">
        <w:trPr>
          <w:trHeight w:val="175"/>
        </w:trPr>
        <w:tc>
          <w:tcPr>
            <w:tcW w:w="3441" w:type="dxa"/>
          </w:tcPr>
          <w:p w:rsidR="00CC103F" w:rsidRDefault="00CC103F" w:rsidP="00CC103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1x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Sennheiser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Radio Mic</w:t>
            </w:r>
            <w:r w:rsidR="00B1132C">
              <w:rPr>
                <w:rFonts w:ascii="Arial" w:hAnsi="Arial"/>
                <w:sz w:val="22"/>
                <w:szCs w:val="22"/>
              </w:rPr>
              <w:t>rophone</w:t>
            </w:r>
            <w:r>
              <w:rPr>
                <w:rFonts w:ascii="Arial" w:hAnsi="Arial"/>
                <w:sz w:val="22"/>
                <w:szCs w:val="22"/>
              </w:rPr>
              <w:t xml:space="preserve"> Kit </w:t>
            </w:r>
          </w:p>
        </w:tc>
        <w:tc>
          <w:tcPr>
            <w:tcW w:w="2232" w:type="dxa"/>
          </w:tcPr>
          <w:p w:rsidR="00CC103F" w:rsidRPr="00DC1B04" w:rsidRDefault="00CC103F" w:rsidP="00CC103F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£446</w:t>
            </w:r>
          </w:p>
        </w:tc>
        <w:tc>
          <w:tcPr>
            <w:tcW w:w="3611" w:type="dxa"/>
          </w:tcPr>
          <w:p w:rsidR="00CC103F" w:rsidRDefault="00CC103F" w:rsidP="00682591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£</w:t>
            </w:r>
            <w:r w:rsidR="00682591">
              <w:rPr>
                <w:rFonts w:ascii="Arial" w:hAnsi="Arial"/>
                <w:sz w:val="22"/>
                <w:szCs w:val="22"/>
              </w:rPr>
              <w:t>136</w:t>
            </w:r>
          </w:p>
          <w:p w:rsidR="00682591" w:rsidRDefault="00682591" w:rsidP="00682591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(£125</w:t>
            </w:r>
            <w:r w:rsidR="00871BF6">
              <w:rPr>
                <w:rFonts w:ascii="Arial" w:hAnsi="Arial"/>
                <w:sz w:val="22"/>
                <w:szCs w:val="22"/>
              </w:rPr>
              <w:t xml:space="preserve"> Deposit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</w:tc>
      </w:tr>
      <w:tr w:rsidR="00CC103F" w:rsidRPr="00DC1B04">
        <w:trPr>
          <w:trHeight w:val="175"/>
        </w:trPr>
        <w:tc>
          <w:tcPr>
            <w:tcW w:w="3441" w:type="dxa"/>
          </w:tcPr>
          <w:p w:rsidR="00CC103F" w:rsidRDefault="00682591" w:rsidP="00CC103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1x Zoom h4n</w:t>
            </w:r>
          </w:p>
        </w:tc>
        <w:tc>
          <w:tcPr>
            <w:tcW w:w="2232" w:type="dxa"/>
          </w:tcPr>
          <w:p w:rsidR="00CC103F" w:rsidRPr="00DC1B04" w:rsidRDefault="00682591" w:rsidP="00CC103F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£154</w:t>
            </w:r>
          </w:p>
        </w:tc>
        <w:tc>
          <w:tcPr>
            <w:tcW w:w="3611" w:type="dxa"/>
          </w:tcPr>
          <w:p w:rsidR="00CC103F" w:rsidRDefault="00682591" w:rsidP="00DD53C7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£59</w:t>
            </w:r>
          </w:p>
          <w:p w:rsidR="00682591" w:rsidRDefault="00682591" w:rsidP="00DD53C7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(£62 Deposit)</w:t>
            </w:r>
          </w:p>
        </w:tc>
      </w:tr>
      <w:tr w:rsidR="00CC103F" w:rsidRPr="00DC1B04">
        <w:trPr>
          <w:trHeight w:val="175"/>
        </w:trPr>
        <w:tc>
          <w:tcPr>
            <w:tcW w:w="3441" w:type="dxa"/>
          </w:tcPr>
          <w:p w:rsidR="00CC103F" w:rsidRDefault="00871BF6" w:rsidP="00CC103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1x 10M XLR Cable </w:t>
            </w:r>
          </w:p>
        </w:tc>
        <w:tc>
          <w:tcPr>
            <w:tcW w:w="2232" w:type="dxa"/>
          </w:tcPr>
          <w:p w:rsidR="00CC103F" w:rsidRPr="00DC1B04" w:rsidRDefault="00871BF6" w:rsidP="00CC103F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£14</w:t>
            </w:r>
          </w:p>
        </w:tc>
        <w:tc>
          <w:tcPr>
            <w:tcW w:w="3611" w:type="dxa"/>
          </w:tcPr>
          <w:p w:rsidR="00CC103F" w:rsidRDefault="00871BF6" w:rsidP="00DD53C7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£10</w:t>
            </w:r>
          </w:p>
          <w:p w:rsidR="00871BF6" w:rsidRDefault="00871BF6" w:rsidP="00DD53C7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(£8 Deposit)</w:t>
            </w:r>
          </w:p>
        </w:tc>
      </w:tr>
      <w:tr w:rsidR="000E33DC" w:rsidRPr="00DC1B04">
        <w:trPr>
          <w:trHeight w:val="175"/>
        </w:trPr>
        <w:tc>
          <w:tcPr>
            <w:tcW w:w="3441" w:type="dxa"/>
          </w:tcPr>
          <w:p w:rsidR="000E33DC" w:rsidRDefault="001C112F" w:rsidP="00CC103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BBC Sound Effects Library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Cd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1- 60</w:t>
            </w:r>
            <w:r w:rsidR="000E33DC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232" w:type="dxa"/>
          </w:tcPr>
          <w:p w:rsidR="000E33DC" w:rsidRDefault="000E33DC" w:rsidP="001C112F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£</w:t>
            </w:r>
            <w:r w:rsidR="001C112F">
              <w:rPr>
                <w:rFonts w:ascii="Arial" w:hAnsi="Arial"/>
                <w:sz w:val="22"/>
                <w:szCs w:val="22"/>
              </w:rPr>
              <w:t>284</w:t>
            </w:r>
          </w:p>
        </w:tc>
        <w:tc>
          <w:tcPr>
            <w:tcW w:w="3611" w:type="dxa"/>
          </w:tcPr>
          <w:p w:rsidR="000E33DC" w:rsidRDefault="002F425F" w:rsidP="00DD53C7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</w:tr>
      <w:tr w:rsidR="002F425F" w:rsidRPr="00DC1B04">
        <w:trPr>
          <w:trHeight w:val="175"/>
        </w:trPr>
        <w:tc>
          <w:tcPr>
            <w:tcW w:w="3441" w:type="dxa"/>
          </w:tcPr>
          <w:p w:rsidR="002F425F" w:rsidRDefault="002F425F" w:rsidP="00CC103F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Protools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Dubbing / Mixing Suite </w:t>
            </w:r>
          </w:p>
        </w:tc>
        <w:tc>
          <w:tcPr>
            <w:tcW w:w="2232" w:type="dxa"/>
          </w:tcPr>
          <w:p w:rsidR="002F425F" w:rsidRDefault="002F425F" w:rsidP="00CC103F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3611" w:type="dxa"/>
          </w:tcPr>
          <w:p w:rsidR="002F425F" w:rsidRDefault="002F425F" w:rsidP="00DD53C7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£800</w:t>
            </w:r>
          </w:p>
        </w:tc>
      </w:tr>
      <w:tr w:rsidR="00A463D0" w:rsidRPr="00DC1B04">
        <w:trPr>
          <w:trHeight w:val="33"/>
        </w:trPr>
        <w:tc>
          <w:tcPr>
            <w:tcW w:w="3441" w:type="dxa"/>
            <w:shd w:val="clear" w:color="auto" w:fill="auto"/>
          </w:tcPr>
          <w:p w:rsidR="00A463D0" w:rsidRPr="009A35B8" w:rsidRDefault="00A463D0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HIRE TOTAL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A463D0" w:rsidRPr="00DD3785" w:rsidRDefault="00871BF6" w:rsidP="009A35B8">
            <w:pPr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-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A463D0" w:rsidRPr="00DD3785" w:rsidRDefault="00871BF6" w:rsidP="00B1132C">
            <w:pPr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£</w:t>
            </w:r>
            <w:r w:rsidR="002F425F">
              <w:rPr>
                <w:rFonts w:ascii="Arial" w:hAnsi="Arial"/>
                <w:b/>
                <w:sz w:val="22"/>
                <w:szCs w:val="22"/>
              </w:rPr>
              <w:t>10</w:t>
            </w:r>
            <w:r w:rsidR="00B1132C">
              <w:rPr>
                <w:rFonts w:ascii="Arial" w:hAnsi="Arial"/>
                <w:b/>
                <w:sz w:val="22"/>
                <w:szCs w:val="22"/>
              </w:rPr>
              <w:t>70</w:t>
            </w:r>
          </w:p>
        </w:tc>
      </w:tr>
      <w:tr w:rsidR="00A463D0" w:rsidRPr="00DC1B04">
        <w:trPr>
          <w:trHeight w:val="33"/>
        </w:trPr>
        <w:tc>
          <w:tcPr>
            <w:tcW w:w="3441" w:type="dxa"/>
            <w:shd w:val="clear" w:color="auto" w:fill="auto"/>
          </w:tcPr>
          <w:p w:rsidR="00A463D0" w:rsidRDefault="00A463D0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DEPOSIT TOTAL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A463D0" w:rsidRPr="00DD3785" w:rsidRDefault="00DD53C7" w:rsidP="009A35B8">
            <w:pPr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-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A463D0" w:rsidRPr="00DD3785" w:rsidRDefault="00871BF6" w:rsidP="00B1132C">
            <w:pPr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£</w:t>
            </w:r>
            <w:r w:rsidR="00B1132C">
              <w:rPr>
                <w:rFonts w:ascii="Arial" w:hAnsi="Arial"/>
                <w:b/>
                <w:sz w:val="22"/>
                <w:szCs w:val="22"/>
              </w:rPr>
              <w:t>223</w:t>
            </w:r>
          </w:p>
        </w:tc>
      </w:tr>
      <w:tr w:rsidR="00A463D0" w:rsidRPr="00DC1B04">
        <w:trPr>
          <w:trHeight w:val="36"/>
        </w:trPr>
        <w:tc>
          <w:tcPr>
            <w:tcW w:w="3441" w:type="dxa"/>
            <w:shd w:val="clear" w:color="auto" w:fill="000000" w:themeFill="text1"/>
          </w:tcPr>
          <w:p w:rsidR="00A463D0" w:rsidRPr="00B73025" w:rsidRDefault="00A463D0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TOTAL</w:t>
            </w:r>
          </w:p>
        </w:tc>
        <w:tc>
          <w:tcPr>
            <w:tcW w:w="2232" w:type="dxa"/>
            <w:shd w:val="clear" w:color="auto" w:fill="000000" w:themeFill="text1"/>
            <w:vAlign w:val="center"/>
          </w:tcPr>
          <w:p w:rsidR="00A463D0" w:rsidRPr="00DD3785" w:rsidRDefault="000E33DC" w:rsidP="001C112F">
            <w:pPr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£</w:t>
            </w:r>
            <w:r w:rsidR="001C112F">
              <w:rPr>
                <w:rFonts w:ascii="Arial" w:hAnsi="Arial"/>
                <w:b/>
                <w:sz w:val="22"/>
                <w:szCs w:val="22"/>
              </w:rPr>
              <w:t>1113</w:t>
            </w:r>
            <w:bookmarkStart w:id="0" w:name="_GoBack"/>
            <w:bookmarkEnd w:id="0"/>
          </w:p>
        </w:tc>
        <w:tc>
          <w:tcPr>
            <w:tcW w:w="3611" w:type="dxa"/>
            <w:shd w:val="clear" w:color="auto" w:fill="000000" w:themeFill="text1"/>
            <w:vAlign w:val="center"/>
          </w:tcPr>
          <w:p w:rsidR="00A463D0" w:rsidRPr="00DD3785" w:rsidRDefault="00A463D0" w:rsidP="00B1132C">
            <w:pPr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DD3785">
              <w:rPr>
                <w:rFonts w:ascii="Arial" w:hAnsi="Arial"/>
                <w:b/>
                <w:sz w:val="22"/>
                <w:szCs w:val="22"/>
              </w:rPr>
              <w:t>£</w:t>
            </w:r>
            <w:r w:rsidR="002F425F">
              <w:rPr>
                <w:rFonts w:ascii="Arial" w:hAnsi="Arial"/>
                <w:b/>
                <w:sz w:val="22"/>
                <w:szCs w:val="22"/>
              </w:rPr>
              <w:t>1293</w:t>
            </w:r>
          </w:p>
        </w:tc>
      </w:tr>
    </w:tbl>
    <w:p w:rsidR="001054F4" w:rsidRPr="00DC1B04" w:rsidRDefault="001054F4">
      <w:pPr>
        <w:rPr>
          <w:rFonts w:ascii="Arial" w:hAnsi="Arial"/>
          <w:sz w:val="22"/>
          <w:szCs w:val="22"/>
        </w:rPr>
      </w:pPr>
    </w:p>
    <w:p w:rsidR="00C1795E" w:rsidRPr="00DC1B04" w:rsidRDefault="00C1795E" w:rsidP="00C1795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All equipment will be needed for 16</w:t>
      </w:r>
      <w:r w:rsidRPr="00A463D0">
        <w:rPr>
          <w:rFonts w:ascii="Arial" w:hAnsi="Arial"/>
          <w:sz w:val="22"/>
          <w:szCs w:val="22"/>
          <w:vertAlign w:val="superscript"/>
        </w:rPr>
        <w:t>th</w:t>
      </w:r>
      <w:r>
        <w:rPr>
          <w:rFonts w:ascii="Arial" w:hAnsi="Arial"/>
          <w:sz w:val="22"/>
          <w:szCs w:val="22"/>
        </w:rPr>
        <w:t>, 17</w:t>
      </w:r>
      <w:r w:rsidRPr="00A463D0">
        <w:rPr>
          <w:rFonts w:ascii="Arial" w:hAnsi="Arial"/>
          <w:sz w:val="22"/>
          <w:szCs w:val="22"/>
          <w:vertAlign w:val="superscript"/>
        </w:rPr>
        <w:t>th</w:t>
      </w:r>
      <w:r>
        <w:rPr>
          <w:rFonts w:ascii="Arial" w:hAnsi="Arial"/>
          <w:sz w:val="22"/>
          <w:szCs w:val="22"/>
        </w:rPr>
        <w:t>, 19</w:t>
      </w:r>
      <w:r w:rsidRPr="00A463D0">
        <w:rPr>
          <w:rFonts w:ascii="Arial" w:hAnsi="Arial"/>
          <w:sz w:val="22"/>
          <w:szCs w:val="22"/>
          <w:vertAlign w:val="superscript"/>
        </w:rPr>
        <w:t>th</w:t>
      </w:r>
      <w:r>
        <w:rPr>
          <w:rFonts w:ascii="Arial" w:hAnsi="Arial"/>
          <w:sz w:val="22"/>
          <w:szCs w:val="22"/>
        </w:rPr>
        <w:t>, 20</w:t>
      </w:r>
      <w:r w:rsidRPr="00A463D0">
        <w:rPr>
          <w:rFonts w:ascii="Arial" w:hAnsi="Arial"/>
          <w:sz w:val="22"/>
          <w:szCs w:val="22"/>
          <w:vertAlign w:val="superscript"/>
        </w:rPr>
        <w:t>th</w:t>
      </w:r>
      <w:r>
        <w:rPr>
          <w:rFonts w:ascii="Arial" w:hAnsi="Arial"/>
          <w:sz w:val="22"/>
          <w:szCs w:val="22"/>
        </w:rPr>
        <w:t>, 24</w:t>
      </w:r>
      <w:r w:rsidRPr="00A463D0">
        <w:rPr>
          <w:rFonts w:ascii="Arial" w:hAnsi="Arial"/>
          <w:sz w:val="22"/>
          <w:szCs w:val="22"/>
          <w:vertAlign w:val="superscript"/>
        </w:rPr>
        <w:t>th</w:t>
      </w:r>
      <w:r>
        <w:rPr>
          <w:rFonts w:ascii="Arial" w:hAnsi="Arial"/>
          <w:sz w:val="22"/>
          <w:szCs w:val="22"/>
        </w:rPr>
        <w:t>, 27</w:t>
      </w:r>
      <w:r w:rsidRPr="00A463D0">
        <w:rPr>
          <w:rFonts w:ascii="Arial" w:hAnsi="Arial"/>
          <w:sz w:val="22"/>
          <w:szCs w:val="22"/>
          <w:vertAlign w:val="superscript"/>
        </w:rPr>
        <w:t>th</w:t>
      </w:r>
      <w:r>
        <w:rPr>
          <w:rFonts w:ascii="Arial" w:hAnsi="Arial"/>
          <w:sz w:val="22"/>
          <w:szCs w:val="22"/>
        </w:rPr>
        <w:t>, 29</w:t>
      </w:r>
      <w:r w:rsidRPr="00A463D0">
        <w:rPr>
          <w:rFonts w:ascii="Arial" w:hAnsi="Arial"/>
          <w:sz w:val="22"/>
          <w:szCs w:val="22"/>
          <w:vertAlign w:val="superscript"/>
        </w:rPr>
        <w:t>th</w:t>
      </w:r>
      <w:r>
        <w:rPr>
          <w:rFonts w:ascii="Arial" w:hAnsi="Arial"/>
          <w:sz w:val="22"/>
          <w:szCs w:val="22"/>
        </w:rPr>
        <w:t xml:space="preserve"> November and 2</w:t>
      </w:r>
      <w:r w:rsidRPr="00A463D0">
        <w:rPr>
          <w:rFonts w:ascii="Arial" w:hAnsi="Arial"/>
          <w:sz w:val="22"/>
          <w:szCs w:val="22"/>
          <w:vertAlign w:val="superscript"/>
        </w:rPr>
        <w:t>nd</w:t>
      </w:r>
      <w:r>
        <w:rPr>
          <w:rFonts w:ascii="Arial" w:hAnsi="Arial"/>
          <w:sz w:val="22"/>
          <w:szCs w:val="22"/>
        </w:rPr>
        <w:t xml:space="preserve"> December.</w:t>
      </w:r>
    </w:p>
    <w:p w:rsidR="00A463D0" w:rsidRDefault="00A463D0">
      <w:pPr>
        <w:rPr>
          <w:rFonts w:ascii="Arial" w:hAnsi="Arial"/>
          <w:sz w:val="22"/>
          <w:szCs w:val="22"/>
        </w:rPr>
      </w:pPr>
    </w:p>
    <w:p w:rsidR="00B85E39" w:rsidRDefault="00B85E3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All rental quotes from </w:t>
      </w:r>
      <w:hyperlink r:id="rId6" w:history="1">
        <w:r w:rsidRPr="00BA2D57">
          <w:rPr>
            <w:rStyle w:val="Hyperlink"/>
            <w:rFonts w:ascii="Arial" w:hAnsi="Arial"/>
            <w:sz w:val="22"/>
            <w:szCs w:val="22"/>
          </w:rPr>
          <w:t>www.hireacamera.com</w:t>
        </w:r>
      </w:hyperlink>
      <w:r>
        <w:rPr>
          <w:rFonts w:ascii="Arial" w:hAnsi="Arial"/>
          <w:sz w:val="22"/>
          <w:szCs w:val="22"/>
        </w:rPr>
        <w:t xml:space="preserve"> </w:t>
      </w:r>
    </w:p>
    <w:p w:rsidR="00B85E39" w:rsidRDefault="00B85E39">
      <w:pPr>
        <w:rPr>
          <w:rFonts w:ascii="Arial" w:hAnsi="Arial"/>
          <w:sz w:val="22"/>
          <w:szCs w:val="22"/>
        </w:rPr>
      </w:pPr>
    </w:p>
    <w:p w:rsidR="00B85E39" w:rsidRDefault="00B85E39">
      <w:pPr>
        <w:rPr>
          <w:rFonts w:ascii="Arial" w:hAnsi="Arial"/>
          <w:sz w:val="22"/>
          <w:szCs w:val="22"/>
        </w:rPr>
      </w:pPr>
    </w:p>
    <w:p w:rsidR="00B85E39" w:rsidRPr="00D13E7C" w:rsidRDefault="00B85E39">
      <w:pPr>
        <w:rPr>
          <w:rFonts w:ascii="Arial" w:hAnsi="Arial" w:cs="Arial"/>
          <w:sz w:val="20"/>
          <w:szCs w:val="22"/>
        </w:rPr>
      </w:pPr>
      <w:r>
        <w:rPr>
          <w:rFonts w:ascii="Arial" w:hAnsi="Arial"/>
          <w:sz w:val="22"/>
          <w:szCs w:val="22"/>
        </w:rPr>
        <w:t>All buying prices ta</w:t>
      </w:r>
      <w:r w:rsidR="00871BF6">
        <w:rPr>
          <w:rFonts w:ascii="Arial" w:hAnsi="Arial"/>
          <w:sz w:val="22"/>
          <w:szCs w:val="22"/>
        </w:rPr>
        <w:t xml:space="preserve">ken from </w:t>
      </w:r>
      <w:hyperlink r:id="rId7" w:history="1">
        <w:r w:rsidR="00871BF6" w:rsidRPr="00871BF6">
          <w:rPr>
            <w:rStyle w:val="Hyperlink"/>
            <w:rFonts w:ascii="Arial" w:hAnsi="Arial"/>
            <w:sz w:val="22"/>
            <w:szCs w:val="22"/>
          </w:rPr>
          <w:t>http://www.thomann.de</w:t>
        </w:r>
      </w:hyperlink>
    </w:p>
    <w:p w:rsidR="003050E2" w:rsidRDefault="003050E2">
      <w:pPr>
        <w:rPr>
          <w:rFonts w:ascii="Arial" w:hAnsi="Arial"/>
          <w:sz w:val="22"/>
          <w:szCs w:val="22"/>
        </w:rPr>
      </w:pPr>
    </w:p>
    <w:p w:rsidR="008A1B5A" w:rsidRDefault="008A1B5A">
      <w:pPr>
        <w:rPr>
          <w:rFonts w:ascii="Arial" w:hAnsi="Arial"/>
          <w:sz w:val="22"/>
          <w:szCs w:val="22"/>
        </w:rPr>
      </w:pPr>
    </w:p>
    <w:p w:rsidR="008A1B5A" w:rsidRPr="00DC1B04" w:rsidRDefault="00D559A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above table shows that </w:t>
      </w:r>
      <w:r w:rsidR="00B1132C">
        <w:rPr>
          <w:rFonts w:ascii="Arial" w:hAnsi="Arial"/>
          <w:sz w:val="22"/>
          <w:szCs w:val="22"/>
        </w:rPr>
        <w:t>it cost roughly half the price to hire the equipment needed then to purchase every piece brand new. By far one of the most expensive piece</w:t>
      </w:r>
      <w:r w:rsidR="00CA504E">
        <w:rPr>
          <w:rFonts w:ascii="Arial" w:hAnsi="Arial"/>
          <w:sz w:val="22"/>
          <w:szCs w:val="22"/>
        </w:rPr>
        <w:t>s of equipment we would need is the r</w:t>
      </w:r>
      <w:r w:rsidR="00B1132C">
        <w:rPr>
          <w:rFonts w:ascii="Arial" w:hAnsi="Arial"/>
          <w:sz w:val="22"/>
          <w:szCs w:val="22"/>
        </w:rPr>
        <w:t>adio microphone</w:t>
      </w:r>
      <w:r w:rsidR="00CA504E">
        <w:rPr>
          <w:rFonts w:ascii="Arial" w:hAnsi="Arial"/>
          <w:sz w:val="22"/>
          <w:szCs w:val="22"/>
        </w:rPr>
        <w:t>,</w:t>
      </w:r>
      <w:r w:rsidR="00B1132C">
        <w:rPr>
          <w:rFonts w:ascii="Arial" w:hAnsi="Arial"/>
          <w:sz w:val="22"/>
          <w:szCs w:val="22"/>
        </w:rPr>
        <w:t xml:space="preserve"> accounting for just under</w:t>
      </w:r>
      <w:r w:rsidR="00CA504E">
        <w:rPr>
          <w:rFonts w:ascii="Arial" w:hAnsi="Arial"/>
          <w:sz w:val="22"/>
          <w:szCs w:val="22"/>
        </w:rPr>
        <w:t xml:space="preserve"> half of the total hire cost. Considering the price for the Zoom recorder, Rode </w:t>
      </w:r>
      <w:proofErr w:type="spellStart"/>
      <w:r w:rsidR="00CA504E">
        <w:rPr>
          <w:rFonts w:ascii="Arial" w:hAnsi="Arial"/>
          <w:sz w:val="22"/>
          <w:szCs w:val="22"/>
        </w:rPr>
        <w:t>Mic</w:t>
      </w:r>
      <w:proofErr w:type="spellEnd"/>
      <w:r w:rsidR="00CA504E">
        <w:rPr>
          <w:rFonts w:ascii="Arial" w:hAnsi="Arial"/>
          <w:sz w:val="22"/>
          <w:szCs w:val="22"/>
        </w:rPr>
        <w:t>, Pole and XLR cable</w:t>
      </w:r>
      <w:proofErr w:type="gramStart"/>
      <w:r w:rsidR="00CA504E">
        <w:rPr>
          <w:rFonts w:ascii="Arial" w:hAnsi="Arial"/>
          <w:sz w:val="22"/>
          <w:szCs w:val="22"/>
        </w:rPr>
        <w:t>;</w:t>
      </w:r>
      <w:proofErr w:type="gramEnd"/>
      <w:r w:rsidR="00CA504E">
        <w:rPr>
          <w:rFonts w:ascii="Arial" w:hAnsi="Arial"/>
          <w:sz w:val="22"/>
          <w:szCs w:val="22"/>
        </w:rPr>
        <w:t xml:space="preserve"> it would make more sense to purchase these particular items and then hire the radio </w:t>
      </w:r>
      <w:proofErr w:type="spellStart"/>
      <w:r w:rsidR="00CA504E">
        <w:rPr>
          <w:rFonts w:ascii="Arial" w:hAnsi="Arial"/>
          <w:sz w:val="22"/>
          <w:szCs w:val="22"/>
        </w:rPr>
        <w:t>mics</w:t>
      </w:r>
      <w:proofErr w:type="spellEnd"/>
      <w:r w:rsidR="00CA504E">
        <w:rPr>
          <w:rFonts w:ascii="Arial" w:hAnsi="Arial"/>
          <w:sz w:val="22"/>
          <w:szCs w:val="22"/>
        </w:rPr>
        <w:t xml:space="preserve"> as and when needed. Whilst this option has a higher initial cost, it would save money in the long run and free up more money for future projects.</w:t>
      </w:r>
    </w:p>
    <w:sectPr w:rsidR="008A1B5A" w:rsidRPr="00DC1B04" w:rsidSect="00D97CA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4344168"/>
    <w:multiLevelType w:val="hybridMultilevel"/>
    <w:tmpl w:val="293C3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E7467"/>
    <w:multiLevelType w:val="hybridMultilevel"/>
    <w:tmpl w:val="BC549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20"/>
  <w:characterSpacingControl w:val="doNotCompress"/>
  <w:compat>
    <w:useFELayout/>
  </w:compat>
  <w:rsids>
    <w:rsidRoot w:val="001054F4"/>
    <w:rsid w:val="00011A0C"/>
    <w:rsid w:val="00087675"/>
    <w:rsid w:val="000E33DC"/>
    <w:rsid w:val="001054F4"/>
    <w:rsid w:val="0013766B"/>
    <w:rsid w:val="001C112F"/>
    <w:rsid w:val="002C72F7"/>
    <w:rsid w:val="002F425F"/>
    <w:rsid w:val="003050E2"/>
    <w:rsid w:val="00312824"/>
    <w:rsid w:val="003503CF"/>
    <w:rsid w:val="003558EB"/>
    <w:rsid w:val="00435BDC"/>
    <w:rsid w:val="004C3290"/>
    <w:rsid w:val="00582368"/>
    <w:rsid w:val="00675DED"/>
    <w:rsid w:val="00682591"/>
    <w:rsid w:val="00696DDC"/>
    <w:rsid w:val="007203B1"/>
    <w:rsid w:val="007D5CD7"/>
    <w:rsid w:val="007F080C"/>
    <w:rsid w:val="008432EB"/>
    <w:rsid w:val="00871BF6"/>
    <w:rsid w:val="008878DD"/>
    <w:rsid w:val="008A1B5A"/>
    <w:rsid w:val="008D14D7"/>
    <w:rsid w:val="009174B7"/>
    <w:rsid w:val="009A35B8"/>
    <w:rsid w:val="00A463D0"/>
    <w:rsid w:val="00A71B4A"/>
    <w:rsid w:val="00AC44AE"/>
    <w:rsid w:val="00B1132C"/>
    <w:rsid w:val="00B73025"/>
    <w:rsid w:val="00B85E39"/>
    <w:rsid w:val="00C1795E"/>
    <w:rsid w:val="00CA504E"/>
    <w:rsid w:val="00CC103F"/>
    <w:rsid w:val="00D13E7C"/>
    <w:rsid w:val="00D559AA"/>
    <w:rsid w:val="00D97CA1"/>
    <w:rsid w:val="00DA354E"/>
    <w:rsid w:val="00DC1B04"/>
    <w:rsid w:val="00DD3785"/>
    <w:rsid w:val="00DD53C7"/>
    <w:rsid w:val="00E00664"/>
    <w:rsid w:val="00E06244"/>
    <w:rsid w:val="00E070D9"/>
    <w:rsid w:val="00EE3BEB"/>
    <w:rsid w:val="00F45E99"/>
    <w:rsid w:val="00F55940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66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05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1054F4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">
    <w:name w:val="Light List"/>
    <w:basedOn w:val="TableNormal"/>
    <w:uiPriority w:val="61"/>
    <w:rsid w:val="001054F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054F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3050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5E3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F08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1054F4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">
    <w:name w:val="Light List"/>
    <w:basedOn w:val="TableNormal"/>
    <w:uiPriority w:val="61"/>
    <w:rsid w:val="001054F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054F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3050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5E3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F080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hireacamera.com" TargetMode="External"/><Relationship Id="rId7" Type="http://schemas.openxmlformats.org/officeDocument/2006/relationships/hyperlink" Target="http://www.thomann.d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4427EC-F8DA-4963-9A57-C243DD447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Word 12.1.0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CT</dc:creator>
  <cp:lastModifiedBy>Bobby Jones</cp:lastModifiedBy>
  <cp:revision>2</cp:revision>
  <dcterms:created xsi:type="dcterms:W3CDTF">2014-12-19T03:13:00Z</dcterms:created>
  <dcterms:modified xsi:type="dcterms:W3CDTF">2014-12-19T03:13:00Z</dcterms:modified>
</cp:coreProperties>
</file>